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53" w:rsidRPr="00F82948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F82948"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>МЕМОРАНДУМ СПІВПРАЦІ</w:t>
      </w:r>
    </w:p>
    <w:p w:rsidR="00F82948" w:rsidRDefault="00A70993" w:rsidP="00F8294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Bookman Old Style" w:hAnsi="Times New Roman" w:cs="Times New Roman"/>
          <w:b/>
          <w:color w:val="000000"/>
          <w:sz w:val="28"/>
          <w:szCs w:val="28"/>
          <w:lang w:val="uk-UA"/>
        </w:rPr>
      </w:pPr>
      <w:r w:rsidRPr="00F82948"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>між усіма учас</w:t>
      </w:r>
      <w:r w:rsidR="001A4E88" w:rsidRPr="00F82948"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>никами освітнього процесу</w:t>
      </w:r>
      <w:r w:rsidR="00F82948" w:rsidRPr="00F82948">
        <w:rPr>
          <w:rFonts w:ascii="Times New Roman" w:eastAsia="Bookman Old Style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F82948" w:rsidRPr="00F82948" w:rsidRDefault="00F82948" w:rsidP="00F8294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</w:pPr>
      <w:r w:rsidRPr="00F82948">
        <w:rPr>
          <w:rFonts w:ascii="Times New Roman" w:eastAsia="Bookman Old Style" w:hAnsi="Times New Roman" w:cs="Times New Roman"/>
          <w:b/>
          <w:color w:val="000000"/>
          <w:sz w:val="28"/>
          <w:szCs w:val="28"/>
          <w:lang w:val="uk-UA"/>
        </w:rPr>
        <w:t>(</w:t>
      </w:r>
      <w:r w:rsidRPr="00F82948"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>педагогами, учнями та батьками</w:t>
      </w:r>
      <w:r w:rsidRPr="00F82948">
        <w:rPr>
          <w:rFonts w:ascii="Times New Roman" w:eastAsia="Bookman Old Style" w:hAnsi="Times New Roman" w:cs="Times New Roman"/>
          <w:b/>
          <w:color w:val="000000"/>
          <w:sz w:val="28"/>
          <w:szCs w:val="28"/>
          <w:lang w:val="uk-UA"/>
        </w:rPr>
        <w:t>)</w:t>
      </w:r>
      <w:r w:rsidR="001A4E88" w:rsidRPr="00F82948"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 xml:space="preserve"> </w:t>
      </w:r>
    </w:p>
    <w:p w:rsidR="00344153" w:rsidRPr="00F82948" w:rsidRDefault="001A4E88" w:rsidP="00F8294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F82948">
        <w:rPr>
          <w:rFonts w:ascii="Times New Roman" w:eastAsia="Bookman Old Style" w:hAnsi="Times New Roman" w:cs="Times New Roman"/>
          <w:b/>
          <w:color w:val="000000"/>
          <w:sz w:val="28"/>
          <w:szCs w:val="28"/>
          <w:lang w:val="uk-UA"/>
        </w:rPr>
        <w:t>Новоб</w:t>
      </w:r>
      <w:r w:rsidR="00F82948" w:rsidRPr="00F82948">
        <w:rPr>
          <w:rFonts w:ascii="Times New Roman" w:eastAsia="Bookman Old Style" w:hAnsi="Times New Roman" w:cs="Times New Roman"/>
          <w:b/>
          <w:color w:val="000000"/>
          <w:sz w:val="28"/>
          <w:szCs w:val="28"/>
          <w:lang w:val="uk-UA"/>
        </w:rPr>
        <w:t>огданівського ЗЗСО  Радсадівської сільської ради</w:t>
      </w:r>
      <w:r w:rsidRPr="00F82948">
        <w:rPr>
          <w:rFonts w:ascii="Times New Roman" w:eastAsia="Bookman Old Style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A70993" w:rsidRPr="00F82948"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>:</w:t>
      </w:r>
    </w:p>
    <w:p w:rsidR="00344153" w:rsidRDefault="00344153" w:rsidP="00F8294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p w:rsidR="00344153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</w:t>
      </w:r>
    </w:p>
    <w:p w:rsidR="00344153" w:rsidRPr="004215D4" w:rsidRDefault="00F829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A70993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Керуючись Конституцією України та чинним законодавством України, з метою ефективної взаємодії всіх учасників освітнього </w:t>
      </w:r>
      <w:r w:rsidR="001A4E88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процесу педагогічна рада Новобогданівськог ЗЗСО</w:t>
      </w:r>
      <w:r w:rsidR="00A70993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, в особі голови – надавач освітніх послуг, що далі іменується Сторона 1, та орган батьківського самоврядування, в особі голови – замовник освітніх послуг, що далі іменується Сторона 2, орган уч</w:t>
      </w:r>
      <w:r w:rsidR="001A4E88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нівського самоврядування Новобогданівського ЗЗСО</w:t>
      </w:r>
      <w:r w:rsidR="00A70993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, в особі голови, що далі іменується Сторона 3, далі разом іменуються Сторони, уклали Меморандум про партнерство, співпрацю, довіру та взаємоповагу між учасниками освітнього процесу </w:t>
      </w:r>
      <w:r w:rsidR="001A4E88"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 xml:space="preserve"> Новобогданівського закладу загальної середньої освіти Радсадівської сільської ради Миколаївського району Миколаївської області,</w:t>
      </w:r>
      <w:r w:rsidR="00A70993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</w:t>
      </w:r>
      <w:r w:rsidR="00A70993" w:rsidRPr="004215D4">
        <w:rPr>
          <w:rFonts w:ascii="Times New Roman" w:eastAsia="Bookman Old Style" w:hAnsi="Times New Roman" w:cs="Times New Roman"/>
          <w:i/>
          <w:color w:val="000000"/>
          <w:sz w:val="28"/>
          <w:szCs w:val="28"/>
        </w:rPr>
        <w:t>(далі – Меморандум).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Сторони усвідомлюють спорідненість </w:t>
      </w:r>
      <w:proofErr w:type="gramStart"/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завдань,  необхідність</w:t>
      </w:r>
      <w:proofErr w:type="gramEnd"/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спільних дій, спрямованих на поліпшення атмосфери довіри та партнерських відносин між учасниками освітнього процесу, спрямування зусиль на розбудову сучасного освітнього простору.</w:t>
      </w:r>
      <w:bookmarkStart w:id="0" w:name="_GoBack"/>
      <w:bookmarkEnd w:id="0"/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Сторони визнають важливість упровадження ініціатив, направлених на якісний та конструктивний діалог між Сторонами, ефективних та прийнятних для Сторін форм взаємодії.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Сторони поділяють погляди щодо взаємної відповідальності за навчання, виховання, розвиток і збереження здоров’я учнів. 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Сторони прагнуть забезпечити конструктивність позицій та оптимальний результат своєї співпраці.</w:t>
      </w:r>
    </w:p>
    <w:p w:rsidR="00344153" w:rsidRPr="004215D4" w:rsidRDefault="0034415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>РОЗДІЛ 1. ПРАВИЛА ТА РЕГЛАМЕНТИ</w:t>
      </w:r>
    </w:p>
    <w:p w:rsidR="00344153" w:rsidRPr="004215D4" w:rsidRDefault="0034415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Ми, педагоги, батьки та учні, виходимо з того, що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школа як спільнота та осередок місцевої громади може створити власні правила та регламенти, що не суперечать чинному законодавству. Вони мають бути публічними, всім відомими, загальнодоступними, зрозумілими всім і прийнятними для всіх учасників освітнього процесу в школі. Правила мають ґрунтуватись на загальнолюдських цінностях, принципах демократії та прозорості в ухваленні рішень, рівного доступу до всіх послуг, поваги до різноманітності культур.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1.1. Робота громадського самоврядування в закладі освіти</w:t>
      </w:r>
      <w:r w:rsidR="001A4E88"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lastRenderedPageBreak/>
        <w:t>Школа є осередком місцевої громади, мета існування якого – освіта і всебічний розвиток учнів. Низка засадничих рішень у житті школи, зокрема правила і регламенти, які не суперечать чинному законодавству, можуть ухвалюватися на засадах громадського самоврядування.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Ключові питання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 взаємодії між учасниками освітнього процесу в школі вирішуються на Загальних зборах, які формуються з представників шкільного самоврядування педагогів, учнів та батьків.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У разі потреби на Загальних зборах для вирішення поточних питань життя школи може бути обрана Координаційна рада, сформована з представників усіх учасників освітнього процесу. Координаційна рада може збиратися за потреби або регулярно – один раз на місяць. Адміністрація школи надає приміщення для роботи органів батьківського та учнівського самоврядування.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Запорука плідної роботи громадського самоврядування в школі – максимальна залученість усіх членів спільноти та ефективна комунікація між ними. Канали комунікації в школі мають бути доступними і зручними для всіх. Члени шкільної спільноти, які не мають можливості користуватися шкільним сайтом та/або месенджерами мають бути забезпечені зручними та зрозумілими для них формами комунікації і зворотного зв’язку на кшталт дошок оголошень у школі, скриньок, куди можна кидати записки з пропозиціями, тощо.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Показником дієвості громадського самоврядування в школі є налагоджені механізми зворотнього зв’язку: забезпечена можливість для обговорень, питань, петицій, голосувань, створення “банку пропозицій та ідей” тощо, врахування запитів і пропозицій у подальшій роботі.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u w:val="single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Інструментом оцінки ефективності громадського самоврядування в школі може бути процедура самооцінки, яка проводиться за рішенням органів шкільного самоврядування. Самооцінка проходить у вигляді анонімного опитування (анкетування) педагогів, батьків та учнів, що передбачає подальше коригування роботи громадського самоврядування з урахуванням результатів опитування.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1.2. Правила та регламенти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Види шкільних правил та їхній зміст шкільна спільнота визначає самостійно. Серед них  такі: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-        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етичний кодекс та правила поведінки всіх учасників освітнього процесу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;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-  регламенти: порядок доступу батьків до школи і класів, порядок індивідуального позакласного спілкування з учителями та класними керівниками, форми проведення першого й останнього дзвоника, батьківських зборів, наявність або відсутність дрес-коду для учнів і вчителів та інші.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Шкільні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 правила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розробляються за участі всіх учасників освітнього процесу та членів колективу школи. Пропозиції акумулюються та обробляються за допомогою органів шкільного самоврядування, після чого вони узгоджуються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lastRenderedPageBreak/>
        <w:t>та ухвалюються на Загальних зборах школи. За потреби в регуляційні документи або їхні частини можна вносити зміни шляхом винесення пропозицій на Загальні збори школи та їх ухвалення.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Невід’ємним складником правил та регламентів школи є порядок розгляду звернень і скарг, а також шляхи вирішення конфліктів.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Конфлікти можуть розв’язуватися за допомогою психолога, класного керівника, керівництва школи. Звернення учасників освітнього процесу до керівництва школи розглядається в строки, визначені чинним законодавством.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Розгляд та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розв’язання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 конфліктів також можуть здійснюватися Координаційною радою або засновником закладу освіти (органами управління освітою, які діють від імені засновника). Шкільна процедура розв’язання конфліктів не позбавляє особу права звернутись </w:t>
      </w:r>
      <w:proofErr w:type="gramStart"/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до суду</w:t>
      </w:r>
      <w:proofErr w:type="gramEnd"/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 або до освітнього омбудсмена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Жодне положення цього Меморандуму не звільняє від відповідальності за порушення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норм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чинного законодавства і не може змінювати прямі норми законодавства щодо юридичної відповідальності.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1.3. Принципи фінансування та співфінансування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Фінансова діяльність шкільної спільноти ґрунтується на принципах відкритості, зрозумілості та прозорості. Можлива співучасть батьків у фінансових витратах школи є добровільною та може бути спрямована не лише на цільові, а й на інші проєкти, які слугують покращенню освітнього процесу та розвитку школи як осередку місцевої громади і знайшли підтримку більшості класної або шкільної спільноти.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1.3.1. Фінансування коштом державного та місцевого бюджетів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Усі члени шкільної спільноти мають вільний доступ до інформації про кошторис і фінансовий звіт школи. 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Інформація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 про всі матеріальні цінності, отримані школою від батьків чи благодійних організацій, має бути опублікована на сайті школи. Керівництво закладу освіти обліковує їх відповідно до законодавства та зобов’язується використовувати їх лише в інтересах школи.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Адміністрація школи бере на себе зобов’язання подавати всю фінансову інформацію (або інформацію про всі кошти, які отримує школа з різних джерел) вчасно, достовірно і доступно для розуміння будь-якому учаснику освітнього процесу.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Питання щодо кошторису та фінансового звіту вирішуються через звернення до адміністрації школи або </w:t>
      </w:r>
      <w:proofErr w:type="gramStart"/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відділу  освіти</w:t>
      </w:r>
      <w:proofErr w:type="gramEnd"/>
      <w:r w:rsidR="001A4E88"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,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виконкому</w:t>
      </w:r>
      <w:r w:rsidR="001A4E88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Радсадівської сільської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ради.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Раз на рік директор звітує про виконання річного плану школи.</w:t>
      </w:r>
    </w:p>
    <w:p w:rsidR="001A4E88" w:rsidRPr="004215D4" w:rsidRDefault="00A70993" w:rsidP="001A4E8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1.3.2. Додаткове співфінансування силами батьків</w:t>
      </w:r>
      <w:r w:rsidR="001A4E88"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: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Основною метою додаткового співфінансування силами батьків можуть стати цільові проєкти, гроші на які збираються за принципом відкритого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lastRenderedPageBreak/>
        <w:t>оголошення. Проєкт можуть оголосити адміністрація школи, вчителі, батьки або учні. Проєкт виноситься на розгляд спільноти (класу або школи) і реалізується, якщо отримує належне фінансування на добровільних засадах. Кожен з членів батьківської спільноти самостійно вирішує, чи бажає фінансово підтримати проєкт, і також самостійно визначає розмір власної фінансової участі. Обов’язковою умовою такого співфінансування є оприлюднення переліку потреб та їхньої вартості.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Можливе співфінансування силами батьків здійснюється за принципами: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- добровільності: ніхто не може нікого примусити здавати гроші на будь-що;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- конфіденційності: без згоди людини ніхто не має права публічно оголошувати, узяла вона участь у співфінансуванні чи ні;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- прозорої та регулярної звітності.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Співфінансування школи силами батьків є частиною кошторису школи і відображається в звіті у графі “Надходження”. Якщо батьки вирішили передати школі будь-які матеріальні цінності, останні мають бути взяті на облік за актом приймання-передачі з визначенням їхньої балансової вартості.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Батьки мають можливість контролювати та перевіряти реальні потреби школи в їхньому співфінансуванні. Наявність або відсутність грошей (бюджетних призначень) на поточний рік можна перевірити шляхом ознайомлення з кошторисом на поточний рік, </w:t>
      </w:r>
      <w:r w:rsidR="0054292C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розміщеним на сайті закладу,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або надавши відповідний запит до відділу освіти виконкому</w:t>
      </w:r>
      <w:r w:rsidR="00CF1DB8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Радсадівської сільської ради (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бухгалтерію відділу освіти). Перевірити адекватність тендерних закупівель можна через сайт ProZorro. </w:t>
      </w:r>
    </w:p>
    <w:p w:rsidR="00344153" w:rsidRPr="004215D4" w:rsidRDefault="0034415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</w:p>
    <w:p w:rsidR="00344153" w:rsidRPr="004215D4" w:rsidRDefault="0034415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>РОЗДІЛ 2. ПІДВИЩЕННЯ ЕФЕКТИВНОСТІ ОСВІТНЬОГО ПРОЦЕСУ</w:t>
      </w:r>
    </w:p>
    <w:p w:rsidR="00344153" w:rsidRPr="004215D4" w:rsidRDefault="0034415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Ми, педагоги, батьки та учні, виходимо з того, що освітній процес має бути спрямований на всебічний розвиток і подальшу успішну самореалізацію учня в дорослому житті – як особистості, громадянина й фахівця.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2.1. Організація освітнього процесу в межах навчальної діяльності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Організація освітнього процесу ґрунтується перш за все на академічній свободі вчителя, праві вільного вибору ним форм, методів та засобів навчання і праві вчителя на педагогічну ініціативу. Адміністрація школи, батьківська та учнівська спільноти мають усебічно сприяти реалізації цих прав вчителя.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Водночас батьки та учні (старшокласники) можуть бути ініціаторами та/або брати участь у низці питань організації освітнього процесу, зокрема: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-         </w:t>
      </w:r>
      <w:proofErr w:type="gramStart"/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у межах</w:t>
      </w:r>
      <w:proofErr w:type="gramEnd"/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Типового навчального плану колективно обирати предмети варіативного складника освітньої програми з урахуванням запитів більшості або профорієнтаційних перспектив;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-         подавати загальношкільні, класні або індивідуальні заявки на освітні, соціальні й культурні гранти;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lastRenderedPageBreak/>
        <w:t>-         залучати батьків до організації майстер-класів та лекцій про різні спеціальності, а також екскурсій на виробництва, в офіси тощо; шукати можливості для отримання якомога ширшої інформації про сучасні професії та соціальні компетентності.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Важливою умовою ефективності освітнього процесу є неупереджене, прозоре та зрозуміле оцінювання. Критерії оцінювання усних та письмових відповідей, контрольних, самостійних робіт, рефератів, проектів тощо є прозорими, справедливими та зрозумілими для всіх. Затверджені МОН критерії оцінювання, мають бути вивішені в навчальних кабінетах, на інформаційній дошці в школі, розміщені на сайті школи тощо.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u w:val="single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Механізмом перевірки якості освіти в школі, зокрема, може бути процедура самооцінки, яка проводиться у вигляді анонімного опитування (анкетування) педагогів, батьків та учнів, що передбачає подальше коригування роботи з урахуванням результатів опитування.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2.2. Організація освітнього процесу поза межами навчальної діяльності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Позаурочна діяльність має бути спрямована на: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- всебічний розвиток учнів, зокрема їхнього емоційного інтелекту, комунікаційних навичок, ініціативності та творчості;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-    виявлення і розвиток талантів;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- налагодження та укріплення партнерських зв’язків між членами спільноти: батьками, педагогами та дітьми. Вітається і заохочується будь-яка спільна діяльність батьків і дітей, батьків і вчителів, педагогів і дітей та всіх разом: наставництво старшокласників над учнями молодших класів, “школа для батьків” під проводом учителів або адміністрації школи, гуртки, лекції та інша освітня активність для освітян і батьків, спільне дозвілля, екскурсії тощо.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Усім учням має бути надана можливість спробувати себе в творчих видах діяльності та взяти участь у відповідних конкурсах, виставах, змаганнях тощо: критеріями участі в творчих конкурсах є не наявність відповідних навичок, а виключно бажання учня.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Форма і зміст таких заходів обираються та плануються спільно з учнями; пріоритетом у виборі форм позаурочної творчої активності є побажання учнів.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У позаурочний час учні за бажанням можуть брати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участь в олімпіадах з навчальних предметів; відповідний учитель надає допомогу в підготовці. Успішна участь в олімпіадах не є обов’язком учнів; будь-який результат на олімпіаді або відмова від участі не можуть бути причиною засудження чи покарання з боку вчителя або адміністрації школи.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Запорукою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добровільної участі в позаурочній діяльності є її відкрита програма та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попереднє оголошення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загальношкільних учнівських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заходів, що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обговорюється та пропонується заздалегідь на кожен 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семестр. Такий порядок дає можливість охочим заздалегідь визначитись, у яких видах позаурочної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lastRenderedPageBreak/>
        <w:t>діяльності вони б хотіли взяти участь.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Учні та батьки можуть вносити свої пропозиції на наступний рік і брати участь у складанні програми заходів.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Механізмом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перевірки ефективності позаурочної діяльності в школі може бути опитування (анкетування) педагогів, батьків та учнів, що передбачає подальше коригування роботи з урахуванням результатів опитування.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>РОЗДІЛ 3. БЕЗПЕКА В ШКОЛІ</w:t>
      </w:r>
    </w:p>
    <w:p w:rsidR="00344153" w:rsidRPr="004215D4" w:rsidRDefault="0034415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Ми, педагоги,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батьки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та учні, виходимо з того, що обов’язковим елементом освітнього процесу в шкільному середовищі є задовільнення для всіх його учасників на належному рівні основних потреб людини (зокрема фізіологічних, соціальних та потреб у безпеці – фізичній і психологічній).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3.1. Сприятливе фізичне середовище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Адміністрація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школи в співпраці з усією шкільною спільнотою розробляє методи та шляхи забезпечення задовільнення основних фізичних потреб у шкільному середовищі.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Серед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основних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фізичних потреб усіх учасників освітнього процесу в шкільному середовищі є такі: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- вільний доступ до свіжого повітря. Школа має забезпечити наявність свіжого повітря в класах під час занять, регулярне провітрювання класі</w:t>
      </w:r>
      <w:r w:rsidR="00CF1DB8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в під час перерви та</w:t>
      </w:r>
      <w:r w:rsidR="00CF1DB8"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 xml:space="preserve"> </w:t>
      </w:r>
      <w:r w:rsidR="00CF1DB8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відпочинок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дітей на шкільному подвір’ї під час перерв;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- вільний доступ до питної води; 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- вільний доступ </w:t>
      </w:r>
      <w:proofErr w:type="gramStart"/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до туалету</w:t>
      </w:r>
      <w:proofErr w:type="gramEnd"/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. Шкільні туалети мають відповідати потребам людини в повазі до її гідності та сучасним гігієнічним нормам; 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FF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- доступна якісна їжа. У школі має бути організовано гаряче харчування.</w:t>
      </w:r>
      <w:r w:rsidRPr="004215D4">
        <w:rPr>
          <w:rFonts w:ascii="Times New Roman" w:eastAsia="Bookman Old Style" w:hAnsi="Times New Roman" w:cs="Times New Roman"/>
          <w:color w:val="FF0000"/>
          <w:sz w:val="28"/>
          <w:szCs w:val="28"/>
        </w:rPr>
        <w:t xml:space="preserve"> 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- надання домедичної допомоги в разі потреби.</w:t>
      </w:r>
    </w:p>
    <w:p w:rsidR="00344153" w:rsidRPr="004215D4" w:rsidRDefault="0034415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u w:val="single"/>
        </w:rPr>
      </w:pP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3.2.Безпечне та комфортне психосоціальне середовище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Усі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учасники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освітнього процесу підтримують дружню, заохочувальну і комфортну атмосферу в школі та в освітньому просторі, ставляться один до одного з повагою. Психологічне насильство та булінг є неприпустимими в стосунках між усіма учасниками освітнього процесу. Правила школи та регламенти взаємодії учасників освітнього процесу мають передбачати комфортне психологічне середовище для всіх і кожного.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 xml:space="preserve">У школі організовується психологічна та соціально-педагогічна підтримка для учнів. Психологічна служба в школі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має бути забезпечена організаційними можливостями для ефективної роботи. В школі функціонує окремий кабінет для роботи шкільного психолога, та розміщена скринька для анонімних звернень до психолога.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Інструментом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вимірювання рівня психологічного комфорту в школі є анкетування всіх учасників освітнього процесу.</w:t>
      </w: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lastRenderedPageBreak/>
        <w:t>Проблеми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з порушення</w:t>
      </w:r>
      <w:r w:rsidR="00CF1DB8"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м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правил дружності та взаємоповаги в школі вирішуються на рівні адміністрації школи. Шкільна процедура розв’язання конфліктів не позбавляє особу права звернутись </w:t>
      </w:r>
      <w:proofErr w:type="gramStart"/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до суду</w:t>
      </w:r>
      <w:proofErr w:type="gramEnd"/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або до інших організацій. </w:t>
      </w:r>
    </w:p>
    <w:p w:rsidR="00344153" w:rsidRPr="004215D4" w:rsidRDefault="0034415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</w:p>
    <w:p w:rsidR="00344153" w:rsidRPr="004215D4" w:rsidRDefault="00A709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>ПРИКІНЦЕВІ ПОЛОЖЕННЯ</w:t>
      </w:r>
    </w:p>
    <w:p w:rsidR="00344153" w:rsidRPr="004215D4" w:rsidRDefault="0034415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</w:p>
    <w:p w:rsidR="00344153" w:rsidRPr="004215D4" w:rsidRDefault="00A70993" w:rsidP="00CF1DB8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0" w:firstLineChars="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Дотримання Меморандуму є запорукою плідної співпраці Сторін, спрямованої</w:t>
      </w:r>
      <w:r w:rsidRPr="004215D4">
        <w:rPr>
          <w:rFonts w:ascii="Times New Roman" w:eastAsia="Bookman Old Style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на досягнення вищезазначених цілей.</w:t>
      </w:r>
    </w:p>
    <w:p w:rsidR="00344153" w:rsidRPr="004215D4" w:rsidRDefault="00A70993" w:rsidP="00CF1DB8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0" w:firstLineChars="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Усі зміни до Меморандуму вносяться за взаємною згодою Сторін у письмовій формі.</w:t>
      </w:r>
    </w:p>
    <w:p w:rsidR="003F6584" w:rsidRPr="004215D4" w:rsidRDefault="00A70993" w:rsidP="003F6584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0" w:firstLineChars="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Меморандум є</w:t>
      </w:r>
      <w:r w:rsidR="003F6584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відкритою угодою між Сторонами.</w:t>
      </w:r>
    </w:p>
    <w:p w:rsidR="00344153" w:rsidRPr="004215D4" w:rsidRDefault="003F6584" w:rsidP="003F6584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0" w:firstLineChars="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М</w:t>
      </w:r>
      <w:r w:rsidR="00A70993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еморандум складено українською мовою на _______ аркушах у 3 примірниках, які ідентичні і мають однакову юридичну силу, по одному для кожної із Сторін.</w:t>
      </w:r>
    </w:p>
    <w:p w:rsidR="00344153" w:rsidRPr="004215D4" w:rsidRDefault="003F6584" w:rsidP="003F6584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0" w:firstLineChars="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Б</w:t>
      </w:r>
      <w:r w:rsidR="00A70993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удь-які питання щодо тлумачення або застосування положень Меморандуму вирішуються Сторонами на партнерських засадах шляхом проведення консультацій та переговорів.</w:t>
      </w:r>
    </w:p>
    <w:p w:rsidR="00344153" w:rsidRPr="004215D4" w:rsidRDefault="003F6584" w:rsidP="003F6584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0" w:firstLineChars="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М</w:t>
      </w:r>
      <w:r w:rsidR="00A70993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еморандум набуває чинності з дня його п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ідписання та діє до 01 липня 2022</w:t>
      </w:r>
      <w:r w:rsidR="00A70993"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року.</w:t>
      </w:r>
    </w:p>
    <w:p w:rsidR="003F6584" w:rsidRPr="004215D4" w:rsidRDefault="00A709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Припинення дії Меморандуму настає через 3 місяці після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</w:rPr>
        <w:t>отримання повідомлення</w:t>
      </w:r>
      <w:r w:rsidRPr="004215D4">
        <w:rPr>
          <w:rFonts w:ascii="Times New Roman" w:eastAsia="Bookman Old Style" w:hAnsi="Times New Roman" w:cs="Times New Roman"/>
          <w:color w:val="FF0000"/>
          <w:sz w:val="28"/>
          <w:szCs w:val="28"/>
          <w:highlight w:val="white"/>
        </w:rPr>
        <w:t xml:space="preserve">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>відповідною Стороною. Після цього</w:t>
      </w:r>
      <w:r w:rsidR="003F6584"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 xml:space="preserve"> Меморандум припиняє дію, за винятком урегулювання претензій, що виникли до того дня, у який Меморандум припинив дію, а також будь-якої поточної діяльності з реалізації конкретних проектів </w:t>
      </w:r>
      <w:proofErr w:type="gramStart"/>
      <w:r w:rsidR="003F6584"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у рамках</w:t>
      </w:r>
      <w:proofErr w:type="gramEnd"/>
      <w:r w:rsidR="003F6584"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 xml:space="preserve"> Меморандуму.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</w:t>
      </w:r>
    </w:p>
    <w:p w:rsidR="003F6584" w:rsidRDefault="003F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p w:rsidR="003F6584" w:rsidRPr="004215D4" w:rsidRDefault="003F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Сторона 1</w:t>
      </w:r>
    </w:p>
    <w:p w:rsidR="003F6584" w:rsidRPr="004215D4" w:rsidRDefault="003F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(надавач освітніх послуг)</w:t>
      </w:r>
    </w:p>
    <w:p w:rsidR="003F6584" w:rsidRPr="004215D4" w:rsidRDefault="003F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Директор школи                                                Ірина Якубенко</w:t>
      </w:r>
    </w:p>
    <w:p w:rsidR="003F6584" w:rsidRPr="004215D4" w:rsidRDefault="003F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</w:p>
    <w:p w:rsidR="003F6584" w:rsidRPr="004215D4" w:rsidRDefault="003F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Сторона 2</w:t>
      </w:r>
    </w:p>
    <w:p w:rsidR="003F6584" w:rsidRPr="004215D4" w:rsidRDefault="003F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(замовник освітніх послуг)</w:t>
      </w:r>
    </w:p>
    <w:p w:rsidR="003F6584" w:rsidRPr="004215D4" w:rsidRDefault="003F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 xml:space="preserve">Голова батьківського комітету        </w:t>
      </w:r>
      <w:r w:rsidR="004215D4"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 xml:space="preserve"> Людмила Кошева</w:t>
      </w:r>
    </w:p>
    <w:p w:rsidR="003F6584" w:rsidRPr="004215D4" w:rsidRDefault="003F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</w:p>
    <w:p w:rsidR="003F6584" w:rsidRPr="004215D4" w:rsidRDefault="003F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Сторона 3</w:t>
      </w:r>
    </w:p>
    <w:p w:rsidR="003F6584" w:rsidRPr="004215D4" w:rsidRDefault="003F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</w:pPr>
      <w:r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>(Голова учнівського самоврядування)</w:t>
      </w:r>
      <w:r w:rsidR="0054292C" w:rsidRPr="004215D4">
        <w:rPr>
          <w:rFonts w:ascii="Times New Roman" w:eastAsia="Bookman Old Style" w:hAnsi="Times New Roman" w:cs="Times New Roman"/>
          <w:color w:val="000000"/>
          <w:sz w:val="28"/>
          <w:szCs w:val="28"/>
          <w:lang w:val="uk-UA"/>
        </w:rPr>
        <w:t xml:space="preserve">                Олена  Коношко</w:t>
      </w:r>
    </w:p>
    <w:p w:rsidR="003F6584" w:rsidRDefault="003F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uk-UA"/>
        </w:rPr>
      </w:pPr>
    </w:p>
    <w:p w:rsidR="004B54E0" w:rsidRDefault="004B5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uk-UA"/>
        </w:rPr>
      </w:pPr>
    </w:p>
    <w:p w:rsidR="004B54E0" w:rsidRDefault="004B5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uk-UA"/>
        </w:rPr>
      </w:pPr>
    </w:p>
    <w:p w:rsidR="004B54E0" w:rsidRDefault="004B5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uk-UA"/>
        </w:rPr>
      </w:pPr>
    </w:p>
    <w:p w:rsidR="004B54E0" w:rsidRDefault="004B5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uk-UA"/>
        </w:rPr>
      </w:pPr>
    </w:p>
    <w:p w:rsidR="004B54E0" w:rsidRDefault="004B5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uk-UA"/>
        </w:rPr>
      </w:pPr>
    </w:p>
    <w:p w:rsidR="004B54E0" w:rsidRDefault="004B5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uk-UA"/>
        </w:rPr>
      </w:pPr>
    </w:p>
    <w:p w:rsidR="004B54E0" w:rsidRPr="003F6584" w:rsidRDefault="004B5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uk-UA"/>
        </w:rPr>
      </w:pPr>
    </w:p>
    <w:p w:rsidR="00344153" w:rsidRDefault="00344153" w:rsidP="004215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p w:rsidR="00344153" w:rsidRDefault="00344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sectPr w:rsidR="00344153" w:rsidSect="002E4317">
      <w:pgSz w:w="11909" w:h="16834"/>
      <w:pgMar w:top="964" w:right="964" w:bottom="96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5129C"/>
    <w:multiLevelType w:val="hybridMultilevel"/>
    <w:tmpl w:val="7B085274"/>
    <w:lvl w:ilvl="0" w:tplc="F4A03494">
      <w:start w:val="1"/>
      <w:numFmt w:val="bullet"/>
      <w:lvlText w:val="-"/>
      <w:lvlJc w:val="left"/>
      <w:pPr>
        <w:ind w:left="358" w:hanging="360"/>
      </w:pPr>
      <w:rPr>
        <w:rFonts w:ascii="Bookman Old Style" w:eastAsia="Bookman Old Style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4153"/>
    <w:rsid w:val="001A4E88"/>
    <w:rsid w:val="002E4317"/>
    <w:rsid w:val="00344153"/>
    <w:rsid w:val="003F6584"/>
    <w:rsid w:val="004215D4"/>
    <w:rsid w:val="004B54E0"/>
    <w:rsid w:val="0054292C"/>
    <w:rsid w:val="00A70993"/>
    <w:rsid w:val="00CF1DB8"/>
    <w:rsid w:val="00F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0C9A"/>
  <w15:docId w15:val="{938C9766-728A-4F25-A76E-A6ACFF2E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4317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rsid w:val="002E4317"/>
    <w:pPr>
      <w:keepNext/>
      <w:keepLines/>
      <w:spacing w:before="400" w:after="120"/>
    </w:pPr>
    <w:rPr>
      <w:sz w:val="40"/>
      <w:szCs w:val="40"/>
    </w:rPr>
  </w:style>
  <w:style w:type="paragraph" w:styleId="2">
    <w:name w:val="heading 2"/>
    <w:basedOn w:val="a"/>
    <w:next w:val="a"/>
    <w:rsid w:val="002E43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E43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E43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E431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E43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43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E43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rsid w:val="002E4317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rsid w:val="002E431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E43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2E43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F1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jv0cw4K0Vy2F2uN5yi7MvjWCVg==">AMUW2mUoGyoPPYfj+ku5K8P8mtlBkHjrULhwusIXLhslqW2R3tnEfWQG0UiZ//kV7XQ7eNgRPYSCBZazN5DmvHHcPwkA5LEGyq8Gzf0PZwWKeQCa0bcsaFs=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5</cp:revision>
  <cp:lastPrinted>2021-10-06T11:30:00Z</cp:lastPrinted>
  <dcterms:created xsi:type="dcterms:W3CDTF">2020-02-07T07:49:00Z</dcterms:created>
  <dcterms:modified xsi:type="dcterms:W3CDTF">2021-10-09T09:45:00Z</dcterms:modified>
</cp:coreProperties>
</file>